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CAF3B">
      <w:pPr>
        <w:keepNext/>
        <w:keepLines/>
        <w:pageBreakBefore/>
        <w:jc w:val="center"/>
        <w:outlineLvl w:val="0"/>
        <w:rPr>
          <w:rFonts w:hint="eastAsia" w:ascii="仿宋" w:hAnsi="仿宋" w:eastAsia="仿宋" w:cs="仿宋"/>
          <w:b/>
          <w:color w:val="auto"/>
          <w:sz w:val="44"/>
          <w:szCs w:val="44"/>
          <w:highlight w:val="none"/>
        </w:rPr>
      </w:pPr>
      <w:bookmarkStart w:id="0" w:name="_Toc81575205"/>
      <w:bookmarkStart w:id="1" w:name="_Toc81575168"/>
      <w:bookmarkStart w:id="2" w:name="_Toc7839"/>
      <w:r>
        <w:rPr>
          <w:rFonts w:hint="eastAsia" w:ascii="仿宋" w:hAnsi="仿宋" w:eastAsia="仿宋" w:cs="仿宋"/>
          <w:b/>
          <w:color w:val="auto"/>
          <w:sz w:val="44"/>
          <w:szCs w:val="44"/>
          <w:highlight w:val="none"/>
        </w:rPr>
        <w:t>采购需求</w:t>
      </w:r>
      <w:bookmarkEnd w:id="0"/>
      <w:bookmarkEnd w:id="1"/>
      <w:bookmarkEnd w:id="2"/>
    </w:p>
    <w:p w14:paraId="2631CB09">
      <w:pPr>
        <w:snapToGrid w:val="0"/>
        <w:spacing w:before="120" w:after="120" w:line="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采购包1</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lang w:val="en-US" w:eastAsia="zh-CN"/>
        </w:rPr>
        <w:t>采购包3</w:t>
      </w:r>
      <w:r>
        <w:rPr>
          <w:rFonts w:hint="eastAsia" w:ascii="仿宋" w:hAnsi="仿宋" w:eastAsia="仿宋" w:cs="仿宋"/>
          <w:color w:val="auto"/>
          <w:sz w:val="24"/>
          <w:szCs w:val="24"/>
          <w:highlight w:val="none"/>
        </w:rPr>
        <w:t>：</w:t>
      </w:r>
    </w:p>
    <w:p w14:paraId="196D04C0">
      <w:pPr>
        <w:snapToGrid w:val="0"/>
        <w:spacing w:before="120" w:after="120" w:line="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一、采购标的清单</w:t>
      </w:r>
    </w:p>
    <w:tbl>
      <w:tblPr>
        <w:tblStyle w:val="4"/>
        <w:tblW w:w="9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6"/>
        <w:gridCol w:w="4320"/>
        <w:gridCol w:w="3603"/>
      </w:tblGrid>
      <w:tr w14:paraId="56E7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atLeast"/>
          <w:jc w:val="center"/>
        </w:trPr>
        <w:tc>
          <w:tcPr>
            <w:tcW w:w="1376" w:type="dxa"/>
            <w:noWrap w:val="0"/>
            <w:vAlign w:val="center"/>
          </w:tcPr>
          <w:p w14:paraId="4873A455">
            <w:pPr>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采购包</w:t>
            </w:r>
          </w:p>
        </w:tc>
        <w:tc>
          <w:tcPr>
            <w:tcW w:w="4320" w:type="dxa"/>
            <w:noWrap w:val="0"/>
            <w:vAlign w:val="center"/>
          </w:tcPr>
          <w:p w14:paraId="054A4BD8">
            <w:pPr>
              <w:pageBreakBefore w:val="0"/>
              <w:kinsoku/>
              <w:wordWrap/>
              <w:overflowPunct/>
              <w:topLinePunct w:val="0"/>
              <w:autoSpaceDE/>
              <w:autoSpaceDN/>
              <w:bidi w:val="0"/>
              <w:adjustRightInd/>
              <w:spacing w:line="560" w:lineRule="exact"/>
              <w:ind w:left="0" w:leftChars="0" w:firstLine="1680" w:firstLineChars="7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采购标的</w:t>
            </w:r>
          </w:p>
        </w:tc>
        <w:tc>
          <w:tcPr>
            <w:tcW w:w="3603" w:type="dxa"/>
            <w:noWrap w:val="0"/>
            <w:vAlign w:val="center"/>
          </w:tcPr>
          <w:p w14:paraId="5661E38A">
            <w:pPr>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对应中小企业划分标准所属行业</w:t>
            </w:r>
          </w:p>
        </w:tc>
      </w:tr>
      <w:tr w14:paraId="1DB93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8" w:hRule="atLeast"/>
          <w:jc w:val="center"/>
        </w:trPr>
        <w:tc>
          <w:tcPr>
            <w:tcW w:w="1376" w:type="dxa"/>
            <w:noWrap w:val="0"/>
            <w:vAlign w:val="center"/>
          </w:tcPr>
          <w:p w14:paraId="68B1F0DC">
            <w:pPr>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采购包1</w:t>
            </w:r>
          </w:p>
        </w:tc>
        <w:tc>
          <w:tcPr>
            <w:tcW w:w="4320" w:type="dxa"/>
            <w:noWrap w:val="0"/>
            <w:vAlign w:val="center"/>
          </w:tcPr>
          <w:p w14:paraId="59EC3ABA">
            <w:pPr>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泗洪县2025-2027年49周岁及以上独生子女父母关爱保险采购项目采购包1</w:t>
            </w:r>
          </w:p>
        </w:tc>
        <w:tc>
          <w:tcPr>
            <w:tcW w:w="3603" w:type="dxa"/>
            <w:noWrap w:val="0"/>
            <w:vAlign w:val="center"/>
          </w:tcPr>
          <w:p w14:paraId="619A110F">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其他未列明行业</w:t>
            </w:r>
          </w:p>
        </w:tc>
      </w:tr>
      <w:tr w14:paraId="337EA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8" w:hRule="atLeast"/>
          <w:jc w:val="center"/>
        </w:trPr>
        <w:tc>
          <w:tcPr>
            <w:tcW w:w="1376" w:type="dxa"/>
            <w:noWrap w:val="0"/>
            <w:vAlign w:val="center"/>
          </w:tcPr>
          <w:p w14:paraId="7EF96A04">
            <w:pPr>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采购包2</w:t>
            </w:r>
          </w:p>
        </w:tc>
        <w:tc>
          <w:tcPr>
            <w:tcW w:w="4320" w:type="dxa"/>
            <w:noWrap w:val="0"/>
            <w:vAlign w:val="center"/>
          </w:tcPr>
          <w:p w14:paraId="318EE397">
            <w:pPr>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泗洪县2025-2027年49周岁及以上独生子女父母关爱保险采购项目采购包2</w:t>
            </w:r>
          </w:p>
        </w:tc>
        <w:tc>
          <w:tcPr>
            <w:tcW w:w="3603" w:type="dxa"/>
            <w:noWrap w:val="0"/>
            <w:vAlign w:val="center"/>
          </w:tcPr>
          <w:p w14:paraId="42EB2C7D">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其他未列明行业</w:t>
            </w:r>
          </w:p>
        </w:tc>
      </w:tr>
      <w:tr w14:paraId="50ACB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1376" w:type="dxa"/>
            <w:noWrap w:val="0"/>
            <w:vAlign w:val="center"/>
          </w:tcPr>
          <w:p w14:paraId="66158179">
            <w:pPr>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采购包3</w:t>
            </w:r>
          </w:p>
        </w:tc>
        <w:tc>
          <w:tcPr>
            <w:tcW w:w="4320" w:type="dxa"/>
            <w:noWrap w:val="0"/>
            <w:vAlign w:val="center"/>
          </w:tcPr>
          <w:p w14:paraId="57307BB1">
            <w:pPr>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泗洪县2025-2027年49周岁及以上独生子女父母关爱保险采购项目采购包3</w:t>
            </w:r>
          </w:p>
        </w:tc>
        <w:tc>
          <w:tcPr>
            <w:tcW w:w="3603" w:type="dxa"/>
            <w:noWrap w:val="0"/>
            <w:vAlign w:val="center"/>
          </w:tcPr>
          <w:p w14:paraId="469C6F79">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其他未列明行业</w:t>
            </w:r>
          </w:p>
        </w:tc>
      </w:tr>
    </w:tbl>
    <w:p w14:paraId="635E7147">
      <w:pPr>
        <w:snapToGrid w:val="0"/>
        <w:spacing w:before="120" w:after="120" w:line="0" w:lineRule="atLeast"/>
        <w:rPr>
          <w:rFonts w:hint="eastAsia" w:ascii="仿宋" w:hAnsi="仿宋" w:eastAsia="仿宋" w:cs="仿宋"/>
          <w:b/>
          <w:bCs/>
          <w:i w:val="0"/>
          <w:iCs w:val="0"/>
          <w:caps w:val="0"/>
          <w:color w:val="auto"/>
          <w:sz w:val="24"/>
          <w:highlight w:val="none"/>
          <w:u w:val="none"/>
          <w:lang w:val="en-US" w:eastAsia="zh-CN"/>
        </w:rPr>
      </w:pPr>
    </w:p>
    <w:p w14:paraId="307354B8">
      <w:pPr>
        <w:pStyle w:val="7"/>
        <w:spacing w:line="500" w:lineRule="exact"/>
        <w:textAlignment w:val="baseline"/>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 xml:space="preserve">、项目概况 </w:t>
      </w:r>
    </w:p>
    <w:p w14:paraId="6BEB2D54">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项目为泗洪县2025-2027年49周岁及以上独生子女父母关爱保险采购项目；主要服务内容：为全县49周岁及以上独生子女父母购买关爱保险，保费为100元/人/年，参保人数根据实际参保人数确定，具体实际保费金额以每年签订的保险单为准（合同实行一年一签），本项目共分3个采购包，每个包确定1个中标人。</w:t>
      </w:r>
    </w:p>
    <w:p w14:paraId="05E088EB">
      <w:pPr>
        <w:pStyle w:val="7"/>
        <w:spacing w:line="500" w:lineRule="exact"/>
        <w:textAlignment w:val="baseline"/>
        <w:rPr>
          <w:rFonts w:hint="eastAsia" w:ascii="仿宋" w:hAnsi="仿宋" w:eastAsia="仿宋" w:cs="仿宋"/>
          <w:b/>
          <w:color w:val="auto"/>
          <w:sz w:val="24"/>
          <w:highlight w:val="none"/>
        </w:rPr>
      </w:pPr>
      <w:r>
        <w:rPr>
          <w:rFonts w:hint="eastAsia" w:ascii="仿宋" w:hAnsi="仿宋" w:eastAsia="仿宋" w:cs="仿宋"/>
          <w:color w:val="auto"/>
          <w:kern w:val="0"/>
          <w:sz w:val="24"/>
          <w:szCs w:val="24"/>
          <w:highlight w:val="none"/>
          <w:lang w:val="en-US" w:eastAsia="zh-CN" w:bidi="ar"/>
        </w:rPr>
        <w:t>★三</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具体</w:t>
      </w:r>
      <w:r>
        <w:rPr>
          <w:rFonts w:hint="eastAsia" w:ascii="仿宋" w:hAnsi="仿宋" w:eastAsia="仿宋" w:cs="仿宋"/>
          <w:b/>
          <w:color w:val="auto"/>
          <w:sz w:val="24"/>
          <w:highlight w:val="none"/>
          <w:lang w:val="en-US" w:eastAsia="zh-CN"/>
        </w:rPr>
        <w:t>保险服务内容及</w:t>
      </w:r>
      <w:r>
        <w:rPr>
          <w:rFonts w:hint="eastAsia" w:ascii="仿宋" w:hAnsi="仿宋" w:eastAsia="仿宋" w:cs="仿宋"/>
          <w:b/>
          <w:color w:val="auto"/>
          <w:sz w:val="24"/>
          <w:highlight w:val="none"/>
        </w:rPr>
        <w:t>保费的构成如下：</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1091"/>
        <w:gridCol w:w="2147"/>
        <w:gridCol w:w="2044"/>
        <w:gridCol w:w="2376"/>
      </w:tblGrid>
      <w:tr w14:paraId="3C569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68" w:type="dxa"/>
            <w:vMerge w:val="restart"/>
            <w:noWrap w:val="0"/>
            <w:vAlign w:val="center"/>
          </w:tcPr>
          <w:p w14:paraId="1CA0944E">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p w14:paraId="289B568A">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p w14:paraId="54D261F6">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p w14:paraId="3B35E481">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p w14:paraId="64E9E9D4">
            <w:pPr>
              <w:pStyle w:val="7"/>
              <w:spacing w:line="50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独生子女父母49周岁及以上</w:t>
            </w:r>
          </w:p>
        </w:tc>
        <w:tc>
          <w:tcPr>
            <w:tcW w:w="1091" w:type="dxa"/>
            <w:noWrap w:val="0"/>
            <w:vAlign w:val="center"/>
          </w:tcPr>
          <w:p w14:paraId="02C6C3DC">
            <w:pPr>
              <w:pStyle w:val="7"/>
              <w:spacing w:line="50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保险费</w:t>
            </w:r>
          </w:p>
        </w:tc>
        <w:tc>
          <w:tcPr>
            <w:tcW w:w="2147" w:type="dxa"/>
            <w:noWrap w:val="0"/>
            <w:vAlign w:val="center"/>
          </w:tcPr>
          <w:p w14:paraId="10F22764">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险种名称</w:t>
            </w:r>
          </w:p>
        </w:tc>
        <w:tc>
          <w:tcPr>
            <w:tcW w:w="2044" w:type="dxa"/>
            <w:noWrap w:val="0"/>
            <w:vAlign w:val="center"/>
          </w:tcPr>
          <w:p w14:paraId="53AB00CC">
            <w:pPr>
              <w:pStyle w:val="7"/>
              <w:spacing w:line="500" w:lineRule="exact"/>
              <w:ind w:left="480" w:hanging="480" w:hanging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理赔保险金额（元）</w:t>
            </w:r>
          </w:p>
        </w:tc>
        <w:tc>
          <w:tcPr>
            <w:tcW w:w="2376" w:type="dxa"/>
            <w:noWrap w:val="0"/>
            <w:vAlign w:val="center"/>
          </w:tcPr>
          <w:p w14:paraId="54208FC9">
            <w:pPr>
              <w:pStyle w:val="7"/>
              <w:spacing w:line="500" w:lineRule="exact"/>
              <w:ind w:firstLine="960" w:firstLineChars="4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备注</w:t>
            </w:r>
          </w:p>
        </w:tc>
      </w:tr>
      <w:tr w14:paraId="1322C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068" w:type="dxa"/>
            <w:vMerge w:val="continue"/>
            <w:noWrap w:val="0"/>
            <w:vAlign w:val="top"/>
          </w:tcPr>
          <w:p w14:paraId="5FE1F282">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1091" w:type="dxa"/>
            <w:vMerge w:val="restart"/>
            <w:noWrap w:val="0"/>
            <w:vAlign w:val="top"/>
          </w:tcPr>
          <w:p w14:paraId="3C04A96F">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p w14:paraId="11439CF5">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p w14:paraId="6B7F9F68">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p w14:paraId="506911DD">
            <w:pPr>
              <w:pStyle w:val="7"/>
              <w:spacing w:line="50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100元</w:t>
            </w:r>
          </w:p>
        </w:tc>
        <w:tc>
          <w:tcPr>
            <w:tcW w:w="2147" w:type="dxa"/>
            <w:noWrap w:val="0"/>
            <w:vAlign w:val="center"/>
          </w:tcPr>
          <w:p w14:paraId="7FC3F1A6">
            <w:pPr>
              <w:pStyle w:val="7"/>
              <w:spacing w:line="50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意外伤害身故</w:t>
            </w:r>
          </w:p>
        </w:tc>
        <w:tc>
          <w:tcPr>
            <w:tcW w:w="2044" w:type="dxa"/>
            <w:noWrap w:val="0"/>
            <w:vAlign w:val="center"/>
          </w:tcPr>
          <w:p w14:paraId="06E02F1C">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100000</w:t>
            </w:r>
          </w:p>
        </w:tc>
        <w:tc>
          <w:tcPr>
            <w:tcW w:w="2376" w:type="dxa"/>
            <w:noWrap w:val="0"/>
            <w:vAlign w:val="center"/>
          </w:tcPr>
          <w:p w14:paraId="3E4BB3A1">
            <w:pPr>
              <w:pStyle w:val="7"/>
              <w:spacing w:line="500" w:lineRule="exact"/>
              <w:ind w:firstLine="720" w:firstLineChars="3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按保额赔付</w:t>
            </w:r>
          </w:p>
        </w:tc>
      </w:tr>
      <w:tr w14:paraId="63E35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068" w:type="dxa"/>
            <w:vMerge w:val="continue"/>
            <w:noWrap w:val="0"/>
            <w:vAlign w:val="top"/>
          </w:tcPr>
          <w:p w14:paraId="5E8524FE">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1091" w:type="dxa"/>
            <w:vMerge w:val="continue"/>
            <w:noWrap w:val="0"/>
            <w:vAlign w:val="top"/>
          </w:tcPr>
          <w:p w14:paraId="4606BC73">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2147" w:type="dxa"/>
            <w:noWrap w:val="0"/>
            <w:vAlign w:val="center"/>
          </w:tcPr>
          <w:p w14:paraId="282680C2">
            <w:pPr>
              <w:pStyle w:val="7"/>
              <w:spacing w:line="50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意外伤害残疾、烧伤</w:t>
            </w:r>
          </w:p>
        </w:tc>
        <w:tc>
          <w:tcPr>
            <w:tcW w:w="2044" w:type="dxa"/>
            <w:noWrap w:val="0"/>
            <w:vAlign w:val="center"/>
          </w:tcPr>
          <w:p w14:paraId="35BCDF99">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100000</w:t>
            </w:r>
          </w:p>
        </w:tc>
        <w:tc>
          <w:tcPr>
            <w:tcW w:w="2376" w:type="dxa"/>
            <w:noWrap w:val="0"/>
            <w:vAlign w:val="center"/>
          </w:tcPr>
          <w:p w14:paraId="230574B1">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按残疾比例赔付</w:t>
            </w:r>
          </w:p>
        </w:tc>
      </w:tr>
      <w:tr w14:paraId="1224D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8" w:type="dxa"/>
            <w:vMerge w:val="continue"/>
            <w:noWrap w:val="0"/>
            <w:vAlign w:val="top"/>
          </w:tcPr>
          <w:p w14:paraId="7464BB88">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1091" w:type="dxa"/>
            <w:vMerge w:val="continue"/>
            <w:noWrap w:val="0"/>
            <w:vAlign w:val="top"/>
          </w:tcPr>
          <w:p w14:paraId="37F94068">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2147" w:type="dxa"/>
            <w:noWrap w:val="0"/>
            <w:vAlign w:val="center"/>
          </w:tcPr>
          <w:p w14:paraId="728C28C0">
            <w:pPr>
              <w:pStyle w:val="7"/>
              <w:spacing w:line="50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意外伤害医疗</w:t>
            </w:r>
          </w:p>
        </w:tc>
        <w:tc>
          <w:tcPr>
            <w:tcW w:w="2044" w:type="dxa"/>
            <w:noWrap w:val="0"/>
            <w:vAlign w:val="center"/>
          </w:tcPr>
          <w:p w14:paraId="3F7B1672">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20000</w:t>
            </w:r>
          </w:p>
        </w:tc>
        <w:tc>
          <w:tcPr>
            <w:tcW w:w="2376" w:type="dxa"/>
            <w:noWrap w:val="0"/>
            <w:vAlign w:val="center"/>
          </w:tcPr>
          <w:p w14:paraId="1B3E5822">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100元以上按80%赔付</w:t>
            </w:r>
          </w:p>
        </w:tc>
      </w:tr>
      <w:tr w14:paraId="69B8F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068" w:type="dxa"/>
            <w:vMerge w:val="continue"/>
            <w:noWrap w:val="0"/>
            <w:vAlign w:val="top"/>
          </w:tcPr>
          <w:p w14:paraId="03CBBA4F">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1091" w:type="dxa"/>
            <w:vMerge w:val="continue"/>
            <w:noWrap w:val="0"/>
            <w:vAlign w:val="top"/>
          </w:tcPr>
          <w:p w14:paraId="70F15B78">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2147" w:type="dxa"/>
            <w:noWrap w:val="0"/>
            <w:vAlign w:val="center"/>
          </w:tcPr>
          <w:p w14:paraId="51A53FE9">
            <w:pPr>
              <w:pStyle w:val="7"/>
              <w:spacing w:line="50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意外伤害住院津贴</w:t>
            </w:r>
          </w:p>
        </w:tc>
        <w:tc>
          <w:tcPr>
            <w:tcW w:w="2044" w:type="dxa"/>
            <w:noWrap w:val="0"/>
            <w:vAlign w:val="center"/>
          </w:tcPr>
          <w:p w14:paraId="53BE4621">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60元/天</w:t>
            </w:r>
          </w:p>
        </w:tc>
        <w:tc>
          <w:tcPr>
            <w:tcW w:w="2376" w:type="dxa"/>
            <w:noWrap w:val="0"/>
            <w:vAlign w:val="center"/>
          </w:tcPr>
          <w:p w14:paraId="0AE005D8">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按住院天数补贴，每次60天，全年最高补贴180天</w:t>
            </w:r>
          </w:p>
        </w:tc>
      </w:tr>
      <w:tr w14:paraId="377A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068" w:type="dxa"/>
            <w:vMerge w:val="continue"/>
            <w:noWrap w:val="0"/>
            <w:vAlign w:val="top"/>
          </w:tcPr>
          <w:p w14:paraId="3DF35C8B">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1091" w:type="dxa"/>
            <w:vMerge w:val="continue"/>
            <w:noWrap w:val="0"/>
            <w:vAlign w:val="top"/>
          </w:tcPr>
          <w:p w14:paraId="2B47BBBB">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2147" w:type="dxa"/>
            <w:noWrap w:val="0"/>
            <w:vAlign w:val="center"/>
          </w:tcPr>
          <w:p w14:paraId="38655551">
            <w:pPr>
              <w:pStyle w:val="7"/>
              <w:spacing w:line="50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疾病身故</w:t>
            </w:r>
          </w:p>
        </w:tc>
        <w:tc>
          <w:tcPr>
            <w:tcW w:w="2044" w:type="dxa"/>
            <w:noWrap w:val="0"/>
            <w:vAlign w:val="center"/>
          </w:tcPr>
          <w:p w14:paraId="6221B94B">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5000</w:t>
            </w:r>
          </w:p>
        </w:tc>
        <w:tc>
          <w:tcPr>
            <w:tcW w:w="2376" w:type="dxa"/>
            <w:noWrap w:val="0"/>
            <w:vAlign w:val="center"/>
          </w:tcPr>
          <w:p w14:paraId="49945535">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r>
      <w:tr w14:paraId="45807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068" w:type="dxa"/>
            <w:vMerge w:val="continue"/>
            <w:noWrap w:val="0"/>
            <w:vAlign w:val="top"/>
          </w:tcPr>
          <w:p w14:paraId="40FE14F5">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1091" w:type="dxa"/>
            <w:vMerge w:val="continue"/>
            <w:noWrap w:val="0"/>
            <w:vAlign w:val="top"/>
          </w:tcPr>
          <w:p w14:paraId="4A9E0348">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c>
          <w:tcPr>
            <w:tcW w:w="2147" w:type="dxa"/>
            <w:noWrap w:val="0"/>
            <w:vAlign w:val="center"/>
          </w:tcPr>
          <w:p w14:paraId="3F0F4F21">
            <w:pPr>
              <w:pStyle w:val="7"/>
              <w:spacing w:line="500" w:lineRule="exact"/>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重大疾病（28种重大疾病）</w:t>
            </w:r>
          </w:p>
        </w:tc>
        <w:tc>
          <w:tcPr>
            <w:tcW w:w="2044" w:type="dxa"/>
            <w:noWrap w:val="0"/>
            <w:vAlign w:val="center"/>
          </w:tcPr>
          <w:p w14:paraId="670EB315">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3000</w:t>
            </w:r>
          </w:p>
        </w:tc>
        <w:tc>
          <w:tcPr>
            <w:tcW w:w="2376" w:type="dxa"/>
            <w:noWrap w:val="0"/>
            <w:vAlign w:val="center"/>
          </w:tcPr>
          <w:p w14:paraId="2413024F">
            <w:pPr>
              <w:pStyle w:val="7"/>
              <w:spacing w:line="500" w:lineRule="exact"/>
              <w:ind w:firstLine="480" w:firstLineChars="200"/>
              <w:textAlignment w:val="baseline"/>
              <w:rPr>
                <w:rFonts w:hint="eastAsia" w:ascii="仿宋" w:hAnsi="仿宋" w:eastAsia="仿宋" w:cs="仿宋"/>
                <w:color w:val="auto"/>
                <w:kern w:val="0"/>
                <w:sz w:val="24"/>
                <w:szCs w:val="24"/>
                <w:highlight w:val="none"/>
                <w:lang w:val="en-US" w:eastAsia="zh-CN" w:bidi="ar"/>
              </w:rPr>
            </w:pPr>
          </w:p>
        </w:tc>
      </w:tr>
    </w:tbl>
    <w:p w14:paraId="115F4263">
      <w:pPr>
        <w:keepNext w:val="0"/>
        <w:keepLines w:val="0"/>
        <w:widowControl/>
        <w:suppressLineNumbers w:val="0"/>
        <w:spacing w:line="360" w:lineRule="auto"/>
        <w:ind w:firstLine="482"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特别说明</w:t>
      </w:r>
      <w:r>
        <w:rPr>
          <w:rFonts w:hint="eastAsia" w:ascii="仿宋" w:hAnsi="仿宋" w:eastAsia="仿宋" w:cs="仿宋"/>
          <w:color w:val="auto"/>
          <w:kern w:val="0"/>
          <w:sz w:val="24"/>
          <w:szCs w:val="24"/>
          <w:highlight w:val="none"/>
          <w:lang w:val="en-US" w:eastAsia="zh-CN" w:bidi="ar"/>
        </w:rPr>
        <w:t xml:space="preserve">：1、具体的“伤害及残疾程度”等级以公安或司法或其他有关管理部门认定为准。 </w:t>
      </w:r>
    </w:p>
    <w:p w14:paraId="275D2735">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2、第四部分采购需求内容如因国家或地方政策变化的，则按新政策内容执行。</w:t>
      </w:r>
    </w:p>
    <w:p w14:paraId="3FC49E24">
      <w:pPr>
        <w:pStyle w:val="7"/>
        <w:spacing w:line="360" w:lineRule="auto"/>
        <w:rPr>
          <w:rFonts w:hint="eastAsia" w:ascii="仿宋" w:hAnsi="仿宋" w:eastAsia="仿宋" w:cs="仿宋"/>
          <w:b/>
          <w:color w:val="auto"/>
          <w:sz w:val="24"/>
          <w:highlight w:val="none"/>
        </w:rPr>
      </w:pP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 xml:space="preserve">、保险期限、最终保险费及支付方式 </w:t>
      </w:r>
    </w:p>
    <w:p w14:paraId="1B8337FA">
      <w:pPr>
        <w:pStyle w:val="7"/>
        <w:numPr>
          <w:ilvl w:val="0"/>
          <w:numId w:val="1"/>
        </w:num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保险</w:t>
      </w:r>
      <w:r>
        <w:rPr>
          <w:rFonts w:hint="eastAsia" w:ascii="仿宋" w:hAnsi="仿宋" w:eastAsia="仿宋" w:cs="仿宋"/>
          <w:b/>
          <w:bCs/>
          <w:color w:val="auto"/>
          <w:sz w:val="24"/>
          <w:highlight w:val="none"/>
          <w:lang w:val="en-US" w:eastAsia="zh-CN"/>
        </w:rPr>
        <w:t>期间</w:t>
      </w:r>
    </w:p>
    <w:p w14:paraId="6BB227FA">
      <w:pPr>
        <w:pStyle w:val="8"/>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本协议的保险期限为</w:t>
      </w:r>
      <w:r>
        <w:rPr>
          <w:rFonts w:hint="eastAsia" w:ascii="仿宋" w:hAnsi="仿宋" w:eastAsia="仿宋" w:cs="仿宋"/>
          <w:color w:val="auto"/>
          <w:sz w:val="24"/>
          <w:highlight w:val="none"/>
          <w:u w:val="single"/>
        </w:rPr>
        <w:t>叁</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w:t>
      </w:r>
    </w:p>
    <w:p w14:paraId="26661880">
      <w:pPr>
        <w:pStyle w:val="8"/>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2025年度</w:t>
      </w:r>
      <w:r>
        <w:rPr>
          <w:rFonts w:hint="eastAsia" w:ascii="仿宋" w:hAnsi="仿宋" w:eastAsia="仿宋" w:cs="仿宋"/>
          <w:color w:val="auto"/>
          <w:sz w:val="24"/>
          <w:highlight w:val="none"/>
        </w:rPr>
        <w:t>保险期间为</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 xml:space="preserve">日起至 </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31 </w:t>
      </w:r>
      <w:r>
        <w:rPr>
          <w:rFonts w:hint="eastAsia" w:ascii="仿宋" w:hAnsi="仿宋" w:eastAsia="仿宋" w:cs="仿宋"/>
          <w:color w:val="auto"/>
          <w:sz w:val="24"/>
          <w:highlight w:val="none"/>
        </w:rPr>
        <w:t>日止</w:t>
      </w:r>
      <w:r>
        <w:rPr>
          <w:rFonts w:hint="eastAsia" w:ascii="仿宋" w:hAnsi="仿宋" w:eastAsia="仿宋" w:cs="仿宋"/>
          <w:color w:val="auto"/>
          <w:sz w:val="24"/>
          <w:highlight w:val="none"/>
          <w:lang w:eastAsia="zh-CN"/>
        </w:rPr>
        <w:t>；</w:t>
      </w:r>
    </w:p>
    <w:p w14:paraId="7FD7164A">
      <w:pPr>
        <w:pStyle w:val="8"/>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2026年度</w:t>
      </w:r>
      <w:r>
        <w:rPr>
          <w:rFonts w:hint="eastAsia" w:ascii="仿宋" w:hAnsi="仿宋" w:eastAsia="仿宋" w:cs="仿宋"/>
          <w:color w:val="auto"/>
          <w:sz w:val="24"/>
          <w:highlight w:val="none"/>
        </w:rPr>
        <w:t>保险期间为</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31 </w:t>
      </w:r>
      <w:r>
        <w:rPr>
          <w:rFonts w:hint="eastAsia" w:ascii="仿宋" w:hAnsi="仿宋" w:eastAsia="仿宋" w:cs="仿宋"/>
          <w:color w:val="auto"/>
          <w:sz w:val="24"/>
          <w:highlight w:val="none"/>
        </w:rPr>
        <w:t>日止</w:t>
      </w:r>
      <w:r>
        <w:rPr>
          <w:rFonts w:hint="eastAsia" w:ascii="仿宋" w:hAnsi="仿宋" w:eastAsia="仿宋" w:cs="仿宋"/>
          <w:color w:val="auto"/>
          <w:sz w:val="24"/>
          <w:highlight w:val="none"/>
          <w:lang w:eastAsia="zh-CN"/>
        </w:rPr>
        <w:t>；</w:t>
      </w:r>
    </w:p>
    <w:p w14:paraId="3CB0C33B">
      <w:pPr>
        <w:pStyle w:val="8"/>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2027年度</w:t>
      </w:r>
      <w:r>
        <w:rPr>
          <w:rFonts w:hint="eastAsia" w:ascii="仿宋" w:hAnsi="仿宋" w:eastAsia="仿宋" w:cs="仿宋"/>
          <w:color w:val="auto"/>
          <w:sz w:val="24"/>
          <w:highlight w:val="none"/>
        </w:rPr>
        <w:t>保险期间为</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31 </w:t>
      </w:r>
      <w:r>
        <w:rPr>
          <w:rFonts w:hint="eastAsia" w:ascii="仿宋" w:hAnsi="仿宋" w:eastAsia="仿宋" w:cs="仿宋"/>
          <w:color w:val="auto"/>
          <w:sz w:val="24"/>
          <w:highlight w:val="none"/>
        </w:rPr>
        <w:t>日止。</w:t>
      </w:r>
    </w:p>
    <w:p w14:paraId="12E847A6">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b/>
          <w:bCs/>
          <w:color w:val="auto"/>
          <w:kern w:val="0"/>
          <w:sz w:val="24"/>
          <w:szCs w:val="24"/>
          <w:highlight w:val="none"/>
          <w:lang w:val="en-US" w:eastAsia="zh-CN" w:bidi="ar"/>
        </w:rPr>
        <w:t>若因招标等原因，合同签订日期无法保证在2025年01 月 01 日之前的，投标人须承诺保单从2025年01 月01 日起生效，并承诺承担在此期间的赔偿责任。（须提供承诺书上传至投标文件</w:t>
      </w:r>
      <w:bookmarkStart w:id="3" w:name="_GoBack"/>
      <w:bookmarkEnd w:id="3"/>
      <w:r>
        <w:rPr>
          <w:rFonts w:hint="eastAsia" w:ascii="仿宋" w:hAnsi="仿宋" w:eastAsia="仿宋" w:cs="仿宋"/>
          <w:b/>
          <w:bCs/>
          <w:color w:val="auto"/>
          <w:kern w:val="0"/>
          <w:sz w:val="24"/>
          <w:szCs w:val="24"/>
          <w:highlight w:val="none"/>
          <w:lang w:val="en-US" w:eastAsia="zh-CN" w:bidi="ar"/>
        </w:rPr>
        <w:t>中，格式自拟并加盖投标供应商公章）</w:t>
      </w:r>
    </w:p>
    <w:p w14:paraId="0B3684AA">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b/>
          <w:bCs/>
          <w:color w:val="auto"/>
          <w:kern w:val="0"/>
          <w:sz w:val="24"/>
          <w:szCs w:val="24"/>
          <w:highlight w:val="none"/>
          <w:lang w:val="en-US" w:eastAsia="zh-CN" w:bidi="ar"/>
        </w:rPr>
        <w:t>最终保险费</w:t>
      </w:r>
      <w:r>
        <w:rPr>
          <w:rFonts w:hint="eastAsia" w:ascii="仿宋" w:hAnsi="仿宋" w:eastAsia="仿宋" w:cs="仿宋"/>
          <w:color w:val="auto"/>
          <w:kern w:val="0"/>
          <w:sz w:val="24"/>
          <w:szCs w:val="24"/>
          <w:highlight w:val="none"/>
          <w:lang w:val="en-US" w:eastAsia="zh-CN" w:bidi="ar"/>
        </w:rPr>
        <w:t xml:space="preserve">=最终实际参保人数 X 100元保险费 X保险期限 </w:t>
      </w:r>
    </w:p>
    <w:p w14:paraId="77FB5508">
      <w:pPr>
        <w:keepNext w:val="0"/>
        <w:keepLines w:val="0"/>
        <w:widowControl/>
        <w:numPr>
          <w:ilvl w:val="0"/>
          <w:numId w:val="0"/>
        </w:numPr>
        <w:suppressLineNumbers w:val="0"/>
        <w:spacing w:line="360" w:lineRule="auto"/>
        <w:ind w:left="0" w:lef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b/>
          <w:bCs/>
          <w:color w:val="auto"/>
          <w:kern w:val="0"/>
          <w:sz w:val="24"/>
          <w:szCs w:val="24"/>
          <w:highlight w:val="none"/>
          <w:lang w:val="en-US" w:eastAsia="zh-CN" w:bidi="ar"/>
        </w:rPr>
        <w:t>支付方式</w:t>
      </w:r>
      <w:r>
        <w:rPr>
          <w:rFonts w:hint="eastAsia" w:ascii="仿宋" w:hAnsi="仿宋" w:eastAsia="仿宋" w:cs="仿宋"/>
          <w:color w:val="auto"/>
          <w:kern w:val="0"/>
          <w:sz w:val="24"/>
          <w:szCs w:val="24"/>
          <w:highlight w:val="none"/>
          <w:lang w:val="en-US" w:eastAsia="zh-CN" w:bidi="ar"/>
        </w:rPr>
        <w:t>：</w:t>
      </w:r>
    </w:p>
    <w:p w14:paraId="41C1E800">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预付款：签订合同后自收到供应商发票后10个工作日内，支付合同总价款的10%作为预付款；</w:t>
      </w:r>
    </w:p>
    <w:p w14:paraId="41D218DC">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yellow"/>
          <w:lang w:val="en-US" w:eastAsia="zh-CN" w:bidi="ar"/>
        </w:rPr>
      </w:pPr>
      <w:r>
        <w:rPr>
          <w:rFonts w:hint="eastAsia" w:ascii="仿宋" w:hAnsi="仿宋" w:eastAsia="仿宋" w:cs="仿宋"/>
          <w:color w:val="auto"/>
          <w:kern w:val="0"/>
          <w:sz w:val="24"/>
          <w:szCs w:val="24"/>
          <w:highlight w:val="none"/>
          <w:lang w:val="en-US" w:eastAsia="zh-CN" w:bidi="ar"/>
        </w:rPr>
        <w:t>进度款：根据乙方提交的保险合同及保险费发票，在收到供应商发票后10个工作日内按每一个保险期间支付该保险期间保险费的90%，剩余 10%待相应保险期间考核结束后，根据考核结果一次性支付。</w:t>
      </w:r>
    </w:p>
    <w:p w14:paraId="3587B778">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资金支付的时间：收到供应商发票10个工作日内；</w:t>
      </w:r>
    </w:p>
    <w:p w14:paraId="15757A6E">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资金支付的条件：满足相应阶段的要求且收到供应商发票；</w:t>
      </w:r>
    </w:p>
    <w:p w14:paraId="00C23ED0">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注：1.在签订合同时，中标人明确表示无需预付款或者主动要求降低预付款比例的金额，采购人可不适用预付款规定。</w:t>
      </w:r>
    </w:p>
    <w:p w14:paraId="599D07EB">
      <w:pPr>
        <w:keepNext w:val="0"/>
        <w:keepLines w:val="0"/>
        <w:widowControl/>
        <w:numPr>
          <w:ilvl w:val="0"/>
          <w:numId w:val="2"/>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供应商提供发票的时间：采购人在财政资金拨付到位后三个工作日内通知供应商开具相应发票；</w:t>
      </w:r>
    </w:p>
    <w:p w14:paraId="3BD34188">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由于每年度符合参保条件的人数中途可能发生变动，按实际名单人数出具保险单，保险期间承保人对人数增减及时出具批单（注：每个保险年度内在出具保单后，因存在保险期间内新增办理符合本项目政策文件要求的人员（新增人数不超过相应保险年度和保险范围内投保总人数的2%）直接参保，采购人不再另行支付保费）。</w:t>
      </w:r>
    </w:p>
    <w:p w14:paraId="22790D5D">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4.每年需根据本项目的考核结果进行支付相应保险费。</w:t>
      </w:r>
    </w:p>
    <w:p w14:paraId="54D6AC67">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5.年度考核结果低于60分的，采购人有权将不再与该供应商续签合同，中标人应无条件服从，且中标的相应保险份额由考核合格的分包成交供应商承担。</w:t>
      </w:r>
    </w:p>
    <w:p w14:paraId="013F08BD">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6.合同款可以采用数字人民币方式进行支付。</w:t>
      </w:r>
    </w:p>
    <w:p w14:paraId="48A8EAF7">
      <w:pPr>
        <w:keepNext w:val="0"/>
        <w:keepLines w:val="0"/>
        <w:widowControl/>
        <w:numPr>
          <w:ilvl w:val="0"/>
          <w:numId w:val="0"/>
        </w:numPr>
        <w:suppressLineNumbers w:val="0"/>
        <w:spacing w:line="360" w:lineRule="auto"/>
        <w:jc w:val="left"/>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b/>
          <w:bCs/>
          <w:color w:val="auto"/>
          <w:kern w:val="0"/>
          <w:sz w:val="24"/>
          <w:szCs w:val="24"/>
          <w:highlight w:val="none"/>
          <w:lang w:val="en-US" w:eastAsia="zh-CN" w:bidi="ar"/>
        </w:rPr>
        <w:t>四、保险服务范围（地点）、数量及服务质量标准</w:t>
      </w:r>
    </w:p>
    <w:p w14:paraId="2EF95B5C">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服务范围（地点）：</w:t>
      </w:r>
    </w:p>
    <w:tbl>
      <w:tblPr>
        <w:tblStyle w:val="5"/>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25"/>
        <w:gridCol w:w="3675"/>
        <w:gridCol w:w="3445"/>
      </w:tblGrid>
      <w:tr w14:paraId="533F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noWrap w:val="0"/>
            <w:vAlign w:val="center"/>
          </w:tcPr>
          <w:p w14:paraId="5FE4B34B">
            <w:pPr>
              <w:keepNext w:val="0"/>
              <w:keepLines w:val="0"/>
              <w:widowControl/>
              <w:numPr>
                <w:ilvl w:val="0"/>
                <w:numId w:val="0"/>
              </w:numPr>
              <w:suppressLineNumbers w:val="0"/>
              <w:spacing w:after="0" w:line="360" w:lineRule="auto"/>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序号</w:t>
            </w:r>
          </w:p>
        </w:tc>
        <w:tc>
          <w:tcPr>
            <w:tcW w:w="1525" w:type="dxa"/>
            <w:noWrap w:val="0"/>
            <w:vAlign w:val="center"/>
          </w:tcPr>
          <w:p w14:paraId="0F49D0DA">
            <w:pPr>
              <w:keepNext w:val="0"/>
              <w:keepLines w:val="0"/>
              <w:widowControl/>
              <w:numPr>
                <w:ilvl w:val="0"/>
                <w:numId w:val="0"/>
              </w:numPr>
              <w:suppressLineNumbers w:val="0"/>
              <w:spacing w:after="0" w:line="360" w:lineRule="auto"/>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项目分包</w:t>
            </w:r>
          </w:p>
        </w:tc>
        <w:tc>
          <w:tcPr>
            <w:tcW w:w="3675" w:type="dxa"/>
            <w:noWrap w:val="0"/>
            <w:vAlign w:val="center"/>
          </w:tcPr>
          <w:p w14:paraId="469F33B8">
            <w:pPr>
              <w:keepNext w:val="0"/>
              <w:keepLines w:val="0"/>
              <w:widowControl/>
              <w:numPr>
                <w:ilvl w:val="0"/>
                <w:numId w:val="0"/>
              </w:numPr>
              <w:suppressLineNumbers w:val="0"/>
              <w:spacing w:after="0" w:line="360" w:lineRule="auto"/>
              <w:ind w:leftChars="0" w:firstLine="480" w:firstLineChars="200"/>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承担乡镇范围</w:t>
            </w:r>
          </w:p>
        </w:tc>
        <w:tc>
          <w:tcPr>
            <w:tcW w:w="3445" w:type="dxa"/>
            <w:noWrap w:val="0"/>
            <w:vAlign w:val="center"/>
          </w:tcPr>
          <w:p w14:paraId="6C14D8AC">
            <w:pPr>
              <w:keepNext w:val="0"/>
              <w:keepLines w:val="0"/>
              <w:widowControl/>
              <w:numPr>
                <w:ilvl w:val="0"/>
                <w:numId w:val="0"/>
              </w:numPr>
              <w:suppressLineNumbers w:val="0"/>
              <w:spacing w:after="0" w:line="360" w:lineRule="auto"/>
              <w:ind w:leftChars="0" w:firstLine="480" w:firstLineChars="20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保险期间</w:t>
            </w:r>
          </w:p>
        </w:tc>
      </w:tr>
      <w:tr w14:paraId="3817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noWrap w:val="0"/>
            <w:vAlign w:val="center"/>
          </w:tcPr>
          <w:p w14:paraId="0C8799EA">
            <w:pPr>
              <w:keepNext w:val="0"/>
              <w:keepLines w:val="0"/>
              <w:widowControl/>
              <w:numPr>
                <w:ilvl w:val="0"/>
                <w:numId w:val="0"/>
              </w:numPr>
              <w:suppressLineNumbers w:val="0"/>
              <w:spacing w:after="0" w:line="360" w:lineRule="auto"/>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525" w:type="dxa"/>
            <w:noWrap w:val="0"/>
            <w:vAlign w:val="center"/>
          </w:tcPr>
          <w:p w14:paraId="42552038">
            <w:pPr>
              <w:keepNext w:val="0"/>
              <w:keepLines w:val="0"/>
              <w:widowControl/>
              <w:numPr>
                <w:ilvl w:val="0"/>
                <w:numId w:val="0"/>
              </w:numPr>
              <w:suppressLineNumbers w:val="0"/>
              <w:spacing w:after="0" w:line="360" w:lineRule="auto"/>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采购包1</w:t>
            </w:r>
          </w:p>
        </w:tc>
        <w:tc>
          <w:tcPr>
            <w:tcW w:w="3675" w:type="dxa"/>
            <w:noWrap w:val="0"/>
            <w:vAlign w:val="center"/>
          </w:tcPr>
          <w:p w14:paraId="569F234D">
            <w:pPr>
              <w:keepNext w:val="0"/>
              <w:keepLines w:val="0"/>
              <w:widowControl/>
              <w:numPr>
                <w:ilvl w:val="0"/>
                <w:numId w:val="0"/>
              </w:numPr>
              <w:suppressLineNumbers w:val="0"/>
              <w:spacing w:after="0" w:line="360" w:lineRule="auto"/>
              <w:jc w:val="both"/>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重岗、归仁、石集、孙园、临淮、半城、瑶沟、车门、上塘、魏营、天岗湖、双沟</w:t>
            </w:r>
          </w:p>
        </w:tc>
        <w:tc>
          <w:tcPr>
            <w:tcW w:w="3445" w:type="dxa"/>
            <w:vMerge w:val="restart"/>
            <w:noWrap w:val="0"/>
            <w:vAlign w:val="center"/>
          </w:tcPr>
          <w:p w14:paraId="22E36B2C">
            <w:pPr>
              <w:keepNext w:val="0"/>
              <w:keepLines w:val="0"/>
              <w:widowControl/>
              <w:numPr>
                <w:ilvl w:val="0"/>
                <w:numId w:val="0"/>
              </w:numPr>
              <w:suppressLineNumbers w:val="0"/>
              <w:spacing w:after="0"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 xml:space="preserve">2025 </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01</w:t>
            </w:r>
            <w:r>
              <w:rPr>
                <w:rFonts w:hint="eastAsia" w:ascii="仿宋" w:hAnsi="仿宋" w:eastAsia="仿宋" w:cs="仿宋"/>
                <w:color w:val="auto"/>
                <w:sz w:val="24"/>
                <w:highlight w:val="none"/>
                <w:u w:val="none"/>
              </w:rPr>
              <w:t xml:space="preserve"> 月 </w:t>
            </w:r>
            <w:r>
              <w:rPr>
                <w:rFonts w:hint="eastAsia" w:ascii="仿宋" w:hAnsi="仿宋" w:eastAsia="仿宋" w:cs="仿宋"/>
                <w:color w:val="auto"/>
                <w:sz w:val="24"/>
                <w:highlight w:val="none"/>
                <w:u w:val="none"/>
                <w:lang w:val="en-US" w:eastAsia="zh-CN"/>
              </w:rPr>
              <w:t>01</w:t>
            </w:r>
            <w:r>
              <w:rPr>
                <w:rFonts w:hint="eastAsia" w:ascii="仿宋" w:hAnsi="仿宋" w:eastAsia="仿宋" w:cs="仿宋"/>
                <w:color w:val="auto"/>
                <w:sz w:val="24"/>
                <w:highlight w:val="none"/>
                <w:u w:val="none"/>
              </w:rPr>
              <w:t xml:space="preserve"> 日起至 </w:t>
            </w:r>
            <w:r>
              <w:rPr>
                <w:rFonts w:hint="eastAsia" w:ascii="仿宋" w:hAnsi="仿宋" w:eastAsia="仿宋" w:cs="仿宋"/>
                <w:color w:val="auto"/>
                <w:sz w:val="24"/>
                <w:highlight w:val="none"/>
                <w:u w:val="none"/>
                <w:lang w:val="en-US" w:eastAsia="zh-CN"/>
              </w:rPr>
              <w:t xml:space="preserve">2027 </w:t>
            </w:r>
            <w:r>
              <w:rPr>
                <w:rFonts w:hint="eastAsia" w:ascii="仿宋" w:hAnsi="仿宋" w:eastAsia="仿宋" w:cs="仿宋"/>
                <w:color w:val="auto"/>
                <w:sz w:val="24"/>
                <w:highlight w:val="none"/>
                <w:u w:val="none"/>
              </w:rPr>
              <w:t xml:space="preserve">年 </w:t>
            </w:r>
            <w:r>
              <w:rPr>
                <w:rFonts w:hint="eastAsia" w:ascii="仿宋" w:hAnsi="仿宋" w:eastAsia="仿宋" w:cs="仿宋"/>
                <w:color w:val="auto"/>
                <w:sz w:val="24"/>
                <w:highlight w:val="none"/>
                <w:u w:val="none"/>
                <w:lang w:val="en-US" w:eastAsia="zh-CN"/>
              </w:rPr>
              <w:t>12</w:t>
            </w:r>
            <w:r>
              <w:rPr>
                <w:rFonts w:hint="eastAsia" w:ascii="仿宋" w:hAnsi="仿宋" w:eastAsia="仿宋" w:cs="仿宋"/>
                <w:color w:val="auto"/>
                <w:sz w:val="24"/>
                <w:highlight w:val="none"/>
                <w:u w:val="none"/>
              </w:rPr>
              <w:t xml:space="preserve"> 月 </w:t>
            </w:r>
            <w:r>
              <w:rPr>
                <w:rFonts w:hint="eastAsia" w:ascii="仿宋" w:hAnsi="仿宋" w:eastAsia="仿宋" w:cs="仿宋"/>
                <w:color w:val="auto"/>
                <w:sz w:val="24"/>
                <w:highlight w:val="none"/>
                <w:u w:val="none"/>
                <w:lang w:val="en-US" w:eastAsia="zh-CN"/>
              </w:rPr>
              <w:t>31</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single"/>
              </w:rPr>
              <w:t>止</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lang w:val="en-US" w:eastAsia="zh-CN" w:bidi="ar"/>
              </w:rPr>
              <w:t>（合同实行一年一签）</w:t>
            </w:r>
          </w:p>
        </w:tc>
      </w:tr>
      <w:tr w14:paraId="0081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noWrap w:val="0"/>
            <w:vAlign w:val="center"/>
          </w:tcPr>
          <w:p w14:paraId="4B14545F">
            <w:pPr>
              <w:keepNext w:val="0"/>
              <w:keepLines w:val="0"/>
              <w:widowControl/>
              <w:numPr>
                <w:ilvl w:val="0"/>
                <w:numId w:val="0"/>
              </w:numPr>
              <w:suppressLineNumbers w:val="0"/>
              <w:spacing w:after="0" w:line="360" w:lineRule="auto"/>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1525" w:type="dxa"/>
            <w:noWrap w:val="0"/>
            <w:vAlign w:val="center"/>
          </w:tcPr>
          <w:p w14:paraId="32CF23DE">
            <w:pPr>
              <w:keepNext w:val="0"/>
              <w:keepLines w:val="0"/>
              <w:widowControl/>
              <w:numPr>
                <w:ilvl w:val="0"/>
                <w:numId w:val="0"/>
              </w:numPr>
              <w:suppressLineNumbers w:val="0"/>
              <w:spacing w:after="0" w:line="360" w:lineRule="auto"/>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采购包2</w:t>
            </w:r>
          </w:p>
        </w:tc>
        <w:tc>
          <w:tcPr>
            <w:tcW w:w="3675" w:type="dxa"/>
            <w:noWrap w:val="0"/>
            <w:vAlign w:val="center"/>
          </w:tcPr>
          <w:p w14:paraId="12C547C7">
            <w:pPr>
              <w:keepNext w:val="0"/>
              <w:keepLines w:val="0"/>
              <w:widowControl/>
              <w:numPr>
                <w:ilvl w:val="0"/>
                <w:numId w:val="0"/>
              </w:numPr>
              <w:suppressLineNumbers w:val="0"/>
              <w:spacing w:after="0" w:line="360" w:lineRule="auto"/>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大楼、梅花、金镇、龙集、界集、朱湖</w:t>
            </w:r>
          </w:p>
        </w:tc>
        <w:tc>
          <w:tcPr>
            <w:tcW w:w="3445" w:type="dxa"/>
            <w:vMerge w:val="continue"/>
            <w:noWrap w:val="0"/>
            <w:vAlign w:val="top"/>
          </w:tcPr>
          <w:p w14:paraId="71382C12">
            <w:pPr>
              <w:keepNext w:val="0"/>
              <w:keepLines w:val="0"/>
              <w:widowControl/>
              <w:numPr>
                <w:ilvl w:val="0"/>
                <w:numId w:val="0"/>
              </w:numPr>
              <w:suppressLineNumbers w:val="0"/>
              <w:spacing w:after="0"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p>
        </w:tc>
      </w:tr>
      <w:tr w14:paraId="0F0D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1" w:type="dxa"/>
            <w:noWrap w:val="0"/>
            <w:vAlign w:val="center"/>
          </w:tcPr>
          <w:p w14:paraId="03B78441">
            <w:pPr>
              <w:keepNext w:val="0"/>
              <w:keepLines w:val="0"/>
              <w:widowControl/>
              <w:numPr>
                <w:ilvl w:val="0"/>
                <w:numId w:val="0"/>
              </w:numPr>
              <w:suppressLineNumbers w:val="0"/>
              <w:spacing w:after="0" w:line="360" w:lineRule="auto"/>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w:t>
            </w:r>
          </w:p>
        </w:tc>
        <w:tc>
          <w:tcPr>
            <w:tcW w:w="1525" w:type="dxa"/>
            <w:noWrap w:val="0"/>
            <w:vAlign w:val="center"/>
          </w:tcPr>
          <w:p w14:paraId="6D7BFD26">
            <w:pPr>
              <w:keepNext w:val="0"/>
              <w:keepLines w:val="0"/>
              <w:widowControl/>
              <w:numPr>
                <w:ilvl w:val="0"/>
                <w:numId w:val="0"/>
              </w:numPr>
              <w:suppressLineNumbers w:val="0"/>
              <w:spacing w:after="0" w:line="360" w:lineRule="auto"/>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采购包3</w:t>
            </w:r>
          </w:p>
        </w:tc>
        <w:tc>
          <w:tcPr>
            <w:tcW w:w="3675" w:type="dxa"/>
            <w:noWrap w:val="0"/>
            <w:vAlign w:val="center"/>
          </w:tcPr>
          <w:p w14:paraId="53B0969B">
            <w:pPr>
              <w:keepNext w:val="0"/>
              <w:keepLines w:val="0"/>
              <w:widowControl/>
              <w:numPr>
                <w:ilvl w:val="0"/>
                <w:numId w:val="0"/>
              </w:numPr>
              <w:suppressLineNumbers w:val="0"/>
              <w:spacing w:after="0" w:line="360" w:lineRule="auto"/>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青阳镇</w:t>
            </w:r>
          </w:p>
        </w:tc>
        <w:tc>
          <w:tcPr>
            <w:tcW w:w="3445" w:type="dxa"/>
            <w:vMerge w:val="continue"/>
            <w:noWrap w:val="0"/>
            <w:vAlign w:val="top"/>
          </w:tcPr>
          <w:p w14:paraId="70AE63B6">
            <w:pPr>
              <w:keepNext w:val="0"/>
              <w:keepLines w:val="0"/>
              <w:widowControl/>
              <w:numPr>
                <w:ilvl w:val="0"/>
                <w:numId w:val="0"/>
              </w:numPr>
              <w:suppressLineNumbers w:val="0"/>
              <w:spacing w:after="0" w:line="360" w:lineRule="auto"/>
              <w:ind w:leftChars="0" w:firstLine="480" w:firstLineChars="200"/>
              <w:jc w:val="left"/>
              <w:rPr>
                <w:rFonts w:hint="eastAsia" w:ascii="仿宋" w:hAnsi="仿宋" w:eastAsia="仿宋" w:cs="仿宋"/>
                <w:color w:val="auto"/>
                <w:kern w:val="0"/>
                <w:sz w:val="24"/>
                <w:szCs w:val="24"/>
                <w:highlight w:val="none"/>
                <w:lang w:val="en-US" w:eastAsia="zh-CN" w:bidi="ar"/>
              </w:rPr>
            </w:pPr>
          </w:p>
        </w:tc>
      </w:tr>
    </w:tbl>
    <w:p w14:paraId="20DAE144">
      <w:pPr>
        <w:pStyle w:val="3"/>
        <w:rPr>
          <w:rFonts w:hint="eastAsia"/>
          <w:color w:val="auto"/>
          <w:highlight w:val="none"/>
          <w:lang w:val="en-US" w:eastAsia="zh-CN"/>
        </w:rPr>
      </w:pPr>
    </w:p>
    <w:p w14:paraId="01E54544">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服务数量:以实际签订的保险合同协议为准。</w:t>
      </w:r>
    </w:p>
    <w:p w14:paraId="41157F44">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服务质量：合格（符合国家及相关行业规定）</w:t>
      </w:r>
    </w:p>
    <w:p w14:paraId="1F3B70DD">
      <w:pPr>
        <w:keepNext w:val="0"/>
        <w:keepLines w:val="0"/>
        <w:widowControl/>
        <w:suppressLineNumbers w:val="0"/>
        <w:spacing w:line="360" w:lineRule="auto"/>
        <w:jc w:val="left"/>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★五、保险服务要求 </w:t>
      </w:r>
    </w:p>
    <w:p w14:paraId="7034DC2D">
      <w:pPr>
        <w:keepNext w:val="0"/>
        <w:keepLines w:val="0"/>
        <w:widowControl/>
        <w:suppressLineNumbers w:val="0"/>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 （一）赔偿处理 </w:t>
      </w:r>
    </w:p>
    <w:p w14:paraId="2A90355C">
      <w:pPr>
        <w:keepNext w:val="0"/>
        <w:keepLines w:val="0"/>
        <w:widowControl/>
        <w:suppressLineNumbers w:val="0"/>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1、基本原则：保险人不得以任何理由推卸、拖延和拒绝被保险人索赔要求，除非有合理和足够的证据证明，否则其行为构成违约并承担违约责任。 </w:t>
      </w:r>
    </w:p>
    <w:p w14:paraId="0FC3A4EB">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2、保险人接到被保险人报案后，尽早赶赴事故现场开始初步调查并提出止损建议，一次性及时告知被保险人配合提供有关索赔材料。 </w:t>
      </w:r>
    </w:p>
    <w:p w14:paraId="62FCD0B9">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A：身份证复印件；</w:t>
      </w:r>
    </w:p>
    <w:p w14:paraId="4B964551">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B：意外伤害医疗：</w:t>
      </w:r>
    </w:p>
    <w:p w14:paraId="347862C0">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住院：就诊病例、发票、出院小结、诊断书、长期或临时医嘱单、其他材料等，</w:t>
      </w:r>
    </w:p>
    <w:p w14:paraId="305C195B">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门诊；医疗机构诊断书、门诊病历、门诊费发票；</w:t>
      </w:r>
    </w:p>
    <w:p w14:paraId="2CC29267">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C:残疾证明（构成残疾的）；</w:t>
      </w:r>
    </w:p>
    <w:p w14:paraId="18220BCB">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D：医疗死亡证明、火化证明、户口注销证明（构成死亡的）；</w:t>
      </w:r>
    </w:p>
    <w:p w14:paraId="7124D020">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E：重大疾病：提供二级及以上医疗机构首次诊断确诊证明资料；</w:t>
      </w:r>
    </w:p>
    <w:p w14:paraId="595A7D9A">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F：重大疾病补充医疗：除提供重大疾病资料外，还需提供住院发票、出院小结、诊断书等资料。</w:t>
      </w:r>
    </w:p>
    <w:p w14:paraId="68F16669">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被保险人尽可能为保险人、公估人（由经纪公司指定）调查和取证工作保留事故现场；对确因运营需要而无法留待保险人/公估人查勘的事故现场，被保险人应尽可能留下照片、录像、文字记录供保险人审核之用；</w:t>
      </w:r>
    </w:p>
    <w:p w14:paraId="77E4EA84">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4、涉及有责任的第三方事故时，被保险人不能在获得保险人书面同意以前放弃向其追索的权利；</w:t>
      </w:r>
    </w:p>
    <w:p w14:paraId="5321DE15">
      <w:pPr>
        <w:keepNext w:val="0"/>
        <w:keepLines w:val="0"/>
        <w:widowControl/>
        <w:suppressLineNumbers w:val="0"/>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5、关于保险合同 </w:t>
      </w:r>
    </w:p>
    <w:p w14:paraId="245454FA">
      <w:pPr>
        <w:keepNext w:val="0"/>
        <w:keepLines w:val="0"/>
        <w:widowControl/>
        <w:suppressLineNumbers w:val="0"/>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①本招标文件投保人员名单、保险单、今后可能产生的批单、书面询问、答疑和双方往来函电等共同构成保险合同；构成保险合同的所有文件被认为是一个整体，相互说明、相互补充，如条文含义不明确时，按保险法有关规定办理，当文件间相互矛盾时，以本招标文件及最终协议为准，采购人具有解释权。 </w:t>
      </w:r>
    </w:p>
    <w:p w14:paraId="6A827E8A">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②投标人其作为保险人对保险条款进行解释时，只是合同一方的理解，对争议或歧义的裁决应按保险法规定做出有利于被保险人的解释，若仍有争议则以法院裁决为准，但本条约定并不排斥双方平等协商解决争议的原则。 </w:t>
      </w:r>
    </w:p>
    <w:p w14:paraId="6E4FD555">
      <w:pPr>
        <w:keepNext w:val="0"/>
        <w:keepLines w:val="0"/>
        <w:widowControl/>
        <w:numPr>
          <w:ilvl w:val="0"/>
          <w:numId w:val="3"/>
        </w:numPr>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重大疾病（28种）</w:t>
      </w:r>
    </w:p>
    <w:p w14:paraId="2972B72C">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1.恶性肿瘤——重度 2.较重急性心肌梗死 3.严重脑中风后遗症 4.大器官移植术或造血干细胞移植术 5.冠状动脉搭桥术（或称冠状动脉旁路移植术）6.严重慢性肾衰竭 7.多个肢体缺失 8.急性重症肝炎或亚急性重症肝炎 9.严重非恶性颅内肿瘤 10.严重慢性肝衰竭 11.严重脑炎后遗症或严重脑膜炎后遗症 12.深度昏迷 13.双耳失聪 14.双目失明 15.瘫痪 16.心脏瓣膜手术 17.严重阿尔茨海默病 18.严重脑损伤 19.严重原发性帕金森病 20.严重Ⅲ度烧伤 21.严重特发性肺动脉高压 22.严重运动神经元病 23.语言能力丧失 24.重型再生障碍性贫血 25.主动脉手术 26.严重慢性呼吸衰竭 27.严重克罗恩病 28.严重溃疡性结肠炎。</w:t>
      </w:r>
    </w:p>
    <w:p w14:paraId="2C302986">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（三）其他服务约定</w:t>
      </w:r>
    </w:p>
    <w:p w14:paraId="4D42865C">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1、经招标确定的承保人负责承保份额内的投保、出单、宣传及理赔工作，每月至少与承保区域的市/区残联会商一次项目实施情况。及理赔工作。 </w:t>
      </w:r>
    </w:p>
    <w:p w14:paraId="2ACD035A">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2、承保人按月度汇总承保及理赔数据，于次月10日前向采购人提交承保及理赔数据月报和提供已赔付保费的回执单及明细，并于保险年度结束后 15 日内递交承保及理赔数据年报。</w:t>
      </w:r>
    </w:p>
    <w:p w14:paraId="4557A4C4">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3、承保人须将保单送至被保人手中</w:t>
      </w:r>
      <w:r>
        <w:rPr>
          <w:rFonts w:hint="eastAsia" w:ascii="仿宋" w:hAnsi="仿宋" w:eastAsia="仿宋" w:cs="仿宋"/>
          <w:color w:val="auto"/>
          <w:kern w:val="0"/>
          <w:sz w:val="24"/>
          <w:szCs w:val="24"/>
          <w:highlight w:val="none"/>
          <w:lang w:val="en-US" w:eastAsia="zh-CN" w:bidi="ar"/>
        </w:rPr>
        <w:t>，并告知理赔应知事项。</w:t>
      </w:r>
    </w:p>
    <w:p w14:paraId="58C0DE28">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4、承保人应在接到理赔申请后详细告知申请人需要提供的材料，如申请人符合理赔条件，承保人不得以材料不齐或未付保费</w:t>
      </w:r>
      <w:r>
        <w:rPr>
          <w:rFonts w:hint="eastAsia" w:ascii="仿宋" w:hAnsi="仿宋" w:eastAsia="仿宋" w:cs="仿宋"/>
          <w:color w:val="auto"/>
          <w:kern w:val="0"/>
          <w:sz w:val="24"/>
          <w:szCs w:val="24"/>
          <w:highlight w:val="none"/>
          <w:lang w:val="en-US" w:eastAsia="zh-CN" w:bidi="ar"/>
        </w:rPr>
        <w:t>等原因拖延赔付，应通过预赔付等机制及时履约。</w:t>
      </w:r>
    </w:p>
    <w:p w14:paraId="76A5CBEC">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5、每季度与投保人召开保险工作例会</w:t>
      </w:r>
      <w:r>
        <w:rPr>
          <w:rFonts w:hint="eastAsia" w:ascii="仿宋" w:hAnsi="仿宋" w:eastAsia="仿宋" w:cs="仿宋"/>
          <w:color w:val="auto"/>
          <w:kern w:val="0"/>
          <w:sz w:val="24"/>
          <w:szCs w:val="24"/>
          <w:highlight w:val="none"/>
          <w:lang w:val="en-US" w:eastAsia="zh-CN" w:bidi="ar"/>
        </w:rPr>
        <w:t>，通报保险事故情况、理赔进展情况、商定各项服务计划和共同解决需双方协调的事宜；并建立客户档案。 同时，将每月向投保人提供赔案统计报表，以便及时掌握理赔案件的进展情况，加快赔案处理速度。赔案统计报表建议包括的内容：出险时间、出险人员、出险人员年龄、出险原因、已解决赔款金额、未决赔款金额、预付赔款金额等。</w:t>
      </w:r>
    </w:p>
    <w:p w14:paraId="218465B2">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6、承保人在合同有效期内需接受采购人监督。如 1 年内发生任何有效投诉超过3 起（含），一经查实，立即按照考核标准进扣分，情节严重的，取消中标资格，如有向参保另行收取保费、截留挪用保险赔偿金的，由采购人视情处理，构成违法的，依法处理。</w:t>
      </w:r>
    </w:p>
    <w:p w14:paraId="1872927B">
      <w:pPr>
        <w:pStyle w:val="9"/>
        <w:ind w:left="0" w:leftChars="0" w:firstLine="0" w:firstLineChars="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7、建立争议处理及处罚措施</w:t>
      </w:r>
    </w:p>
    <w:p w14:paraId="30C403EA">
      <w:pPr>
        <w:pStyle w:val="9"/>
        <w:ind w:left="0" w:leftChars="0" w:firstLine="0" w:firstLineChars="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当和被保险人就赔偿结果无法达成一致时，应及时向采购人汇报，并听取采购人意见。对于存在争议的案件，应制定处理及处罚措施。</w:t>
      </w:r>
    </w:p>
    <w:p w14:paraId="3D090826">
      <w:pPr>
        <w:keepNext w:val="0"/>
        <w:keepLines w:val="0"/>
        <w:widowControl/>
        <w:numPr>
          <w:ilvl w:val="0"/>
          <w:numId w:val="4"/>
        </w:numPr>
        <w:suppressLineNumbers w:val="0"/>
        <w:spacing w:line="360" w:lineRule="auto"/>
        <w:jc w:val="left"/>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由于每年度符合参保条件的人数中途可能发生变动，按实际名单人数出具保险单，保险期间承保人对人数增减及时出具批单（注：每个保险年度内在出具保单后，因存在保险期间内新增办理符合本项目政策文件要求的人员（新增人数不超过相应保险年度和保险范围内投保总人数的2%）直接参保，采购人不再另行支付保费）。</w:t>
      </w:r>
    </w:p>
    <w:p w14:paraId="6BA49175">
      <w:pPr>
        <w:keepNext w:val="0"/>
        <w:keepLines w:val="0"/>
        <w:widowControl/>
        <w:numPr>
          <w:ilvl w:val="0"/>
          <w:numId w:val="0"/>
        </w:numPr>
        <w:suppressLineNumbers w:val="0"/>
        <w:spacing w:line="360" w:lineRule="auto"/>
        <w:jc w:val="left"/>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六、服务实施相关要求 </w:t>
      </w:r>
    </w:p>
    <w:p w14:paraId="72DD41A5">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1.理赔绿色通道</w:t>
      </w:r>
    </w:p>
    <w:p w14:paraId="770A1419">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投标人针对本项目建立理赔绿色通道，提供理赔专家，包括但不限于提供理赔热线、提供理赔专家组及理赔服务措施、保障措施，理赔绿色通道要秉持能够快速高效的为被保险人提供完整的理赔服务。</w:t>
      </w:r>
    </w:p>
    <w:p w14:paraId="649209FE">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2.承保服务</w:t>
      </w:r>
    </w:p>
    <w:p w14:paraId="1AB33A3A">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投标人应针对本项目保险服务制定详细的承保服务计划，包括但不限于服务操作模式、服务计划。承保服务应秉持有利于被保险人的原则，服务流程应清晰明确，让被保险人容易接受与理解。</w:t>
      </w:r>
    </w:p>
    <w:p w14:paraId="11E56639">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3.宣传服务</w:t>
      </w:r>
    </w:p>
    <w:p w14:paraId="59A1FE35">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应针对本项目保险服务提供相应的宣传服务并在投标时编制服务方案，服务方案至少包含宣传方式（包含但不限于：短信、微信、公众号、宣传单等）、人员安排、宣传内容等。理赔方式宣传到户、到人，增加安全防范宣传举措，采用合适高效的宣传服务形式，确保精准宣传到户、到人，宣传告知内容中应包含保险范围、赔偿限额、报案方式及监督联系电话等内容，同时投标人建立行之有效的核查机制对宣传成果进行核查</w:t>
      </w:r>
      <w:r>
        <w:rPr>
          <w:rFonts w:hint="eastAsia" w:ascii="仿宋" w:hAnsi="仿宋" w:eastAsia="仿宋" w:cs="仿宋"/>
          <w:color w:val="auto"/>
          <w:kern w:val="0"/>
          <w:sz w:val="24"/>
          <w:szCs w:val="24"/>
          <w:highlight w:val="none"/>
          <w:rtl w:val="0"/>
          <w:lang w:val="en-US" w:eastAsia="zh-CN" w:bidi="ar"/>
        </w:rPr>
        <w:t>。</w:t>
      </w:r>
      <w:r>
        <w:rPr>
          <w:rFonts w:hint="eastAsia" w:ascii="仿宋" w:hAnsi="仿宋" w:eastAsia="仿宋" w:cs="仿宋"/>
          <w:color w:val="auto"/>
          <w:kern w:val="0"/>
          <w:sz w:val="24"/>
          <w:szCs w:val="24"/>
          <w:highlight w:val="none"/>
          <w:lang w:val="en-US" w:eastAsia="zh-CN" w:bidi="ar"/>
        </w:rPr>
        <w:t>。</w:t>
      </w:r>
    </w:p>
    <w:p w14:paraId="04FC5FD7">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4.应急预案</w:t>
      </w:r>
    </w:p>
    <w:p w14:paraId="3B94FAB6">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投标人针对本项目提供应急预案，包括但不限于建立应急预案管理，就突发意外事故建立应急方案。</w:t>
      </w:r>
    </w:p>
    <w:p w14:paraId="41E1114C">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5.风险评估</w:t>
      </w:r>
    </w:p>
    <w:p w14:paraId="38ED3E63">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投标人针对本项目提供风险评估，包括但不限于对项目的风险识别、分析、评估及主要风险管理建议、措施。</w:t>
      </w:r>
    </w:p>
    <w:p w14:paraId="20F8882D">
      <w:pPr>
        <w:keepNext w:val="0"/>
        <w:keepLines w:val="0"/>
        <w:widowControl/>
        <w:suppressLineNumbers w:val="0"/>
        <w:spacing w:line="360" w:lineRule="auto"/>
        <w:jc w:val="left"/>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七、人员要求</w:t>
      </w:r>
    </w:p>
    <w:p w14:paraId="2F8D8DBC">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对本采购项目须设立专项小组。其中项目经理1名，负责按照本次保险的有关要求为各被保险人提供承保、理赔及其他各类保险服务，包括必要的组织与协调工作；客户服务专员：投标人应针对本项目保险服务安排有相关经验的项目人员专员，协助项目经理提供保险服务。</w:t>
      </w:r>
    </w:p>
    <w:p w14:paraId="1225299F">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2.根据相应文件内容，配合投保人完成核保与出单事宜，并在收到投保单和保费五个工作日内将保单正本和保费发票派专人送达投保人。</w:t>
      </w:r>
    </w:p>
    <w:p w14:paraId="2C71CE96">
      <w:pPr>
        <w:keepNext w:val="0"/>
        <w:keepLines w:val="0"/>
        <w:widowControl/>
        <w:suppressLineNumbers w:val="0"/>
        <w:spacing w:line="360" w:lineRule="auto"/>
        <w:jc w:val="left"/>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八、验收 </w:t>
      </w:r>
    </w:p>
    <w:p w14:paraId="59662B25">
      <w:pPr>
        <w:keepNext w:val="0"/>
        <w:keepLines w:val="0"/>
        <w:widowControl/>
        <w:suppressLineNumbers w:val="0"/>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符合采购人有关要求，符合项目验收标准后，采购人 3 个工作日内组织验收，并出具验收书。验收相关费用已包含在项目费用中，采购人不再另行支付。</w:t>
      </w:r>
    </w:p>
    <w:p w14:paraId="77D4BEAF">
      <w:pPr>
        <w:pStyle w:val="8"/>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以上采购需求</w:t>
      </w:r>
      <w:r>
        <w:rPr>
          <w:rFonts w:hint="eastAsia" w:ascii="仿宋" w:hAnsi="仿宋" w:eastAsia="仿宋" w:cs="仿宋"/>
          <w:color w:val="auto"/>
          <w:sz w:val="28"/>
          <w:szCs w:val="28"/>
          <w:highlight w:val="none"/>
          <w:lang w:val="en-US" w:eastAsia="zh-CN"/>
        </w:rPr>
        <w:t>中标记</w:t>
      </w:r>
      <w:r>
        <w:rPr>
          <w:rFonts w:hint="eastAsia" w:ascii="仿宋" w:hAnsi="仿宋" w:eastAsia="仿宋" w:cs="仿宋"/>
          <w:color w:val="auto"/>
          <w:sz w:val="28"/>
          <w:szCs w:val="28"/>
          <w:highlight w:val="none"/>
        </w:rPr>
        <w:t>★均为基本要求，不接受负偏离，否则作无效标处理。</w:t>
      </w:r>
    </w:p>
    <w:p w14:paraId="5E4817B9">
      <w:pPr>
        <w:pStyle w:val="8"/>
        <w:spacing w:line="360" w:lineRule="auto"/>
        <w:ind w:firstLine="56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采购需求内容</w:t>
      </w:r>
      <w:r>
        <w:rPr>
          <w:rFonts w:hint="eastAsia" w:ascii="仿宋" w:hAnsi="仿宋" w:eastAsia="仿宋" w:cs="仿宋"/>
          <w:color w:val="auto"/>
          <w:sz w:val="28"/>
          <w:szCs w:val="28"/>
          <w:highlight w:val="none"/>
          <w:lang w:eastAsia="zh-CN"/>
        </w:rPr>
        <w:t>如因国家或地方政策变化的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则按新政策内容执行</w:t>
      </w:r>
      <w:r>
        <w:rPr>
          <w:rFonts w:hint="eastAsia" w:ascii="仿宋" w:hAnsi="仿宋" w:eastAsia="仿宋" w:cs="仿宋"/>
          <w:color w:val="auto"/>
          <w:sz w:val="28"/>
          <w:szCs w:val="28"/>
          <w:highlight w:val="none"/>
        </w:rPr>
        <w:t>。</w:t>
      </w:r>
    </w:p>
    <w:p w14:paraId="2199173F">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8E2FF"/>
    <w:multiLevelType w:val="singleLevel"/>
    <w:tmpl w:val="AAC8E2FF"/>
    <w:lvl w:ilvl="0" w:tentative="0">
      <w:start w:val="2"/>
      <w:numFmt w:val="chineseCounting"/>
      <w:suff w:val="nothing"/>
      <w:lvlText w:val="（%1）"/>
      <w:lvlJc w:val="left"/>
      <w:rPr>
        <w:rFonts w:hint="eastAsia"/>
      </w:rPr>
    </w:lvl>
  </w:abstractNum>
  <w:abstractNum w:abstractNumId="1">
    <w:nsid w:val="B8CF3FA3"/>
    <w:multiLevelType w:val="singleLevel"/>
    <w:tmpl w:val="B8CF3FA3"/>
    <w:lvl w:ilvl="0" w:tentative="0">
      <w:start w:val="1"/>
      <w:numFmt w:val="decimal"/>
      <w:suff w:val="nothing"/>
      <w:lvlText w:val="%1、"/>
      <w:lvlJc w:val="left"/>
    </w:lvl>
  </w:abstractNum>
  <w:abstractNum w:abstractNumId="2">
    <w:nsid w:val="0E7256D3"/>
    <w:multiLevelType w:val="singleLevel"/>
    <w:tmpl w:val="0E7256D3"/>
    <w:lvl w:ilvl="0" w:tentative="0">
      <w:start w:val="8"/>
      <w:numFmt w:val="decimal"/>
      <w:suff w:val="nothing"/>
      <w:lvlText w:val="%1、"/>
      <w:lvlJc w:val="left"/>
    </w:lvl>
  </w:abstractNum>
  <w:abstractNum w:abstractNumId="3">
    <w:nsid w:val="17CD25DE"/>
    <w:multiLevelType w:val="singleLevel"/>
    <w:tmpl w:val="17CD25DE"/>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D0CEB"/>
    <w:rsid w:val="022F73A2"/>
    <w:rsid w:val="5BED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ascii="Times New Roman" w:hAnsi="Times New Roman" w:eastAsia="楷体_GB2312" w:cs="Times New Roman"/>
      <w:sz w:val="24"/>
      <w:szCs w:val="20"/>
    </w:rPr>
  </w:style>
  <w:style w:type="paragraph" w:styleId="3">
    <w:name w:val="Body Text"/>
    <w:basedOn w:val="1"/>
    <w:next w:val="2"/>
    <w:qFormat/>
    <w:uiPriority w:val="0"/>
    <w:pPr>
      <w:spacing w:line="60" w:lineRule="auto"/>
    </w:pPr>
    <w:rPr>
      <w:rFonts w:ascii="仿宋_GB2312" w:eastAsia="仿宋_GB2312"/>
      <w:sz w:val="32"/>
    </w:r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9">
    <w:name w:val="正文首行缩进 21"/>
    <w:basedOn w:val="10"/>
    <w:next w:val="1"/>
    <w:qFormat/>
    <w:uiPriority w:val="0"/>
    <w:pPr>
      <w:spacing w:line="360" w:lineRule="auto"/>
      <w:ind w:firstLine="420"/>
    </w:pPr>
    <w:rPr>
      <w:rFonts w:ascii="宋体" w:hAnsi="宋体" w:eastAsia="宋体"/>
      <w:sz w:val="21"/>
      <w:szCs w:val="20"/>
    </w:rPr>
  </w:style>
  <w:style w:type="paragraph" w:customStyle="1" w:styleId="10">
    <w:name w:val="正文文本缩进1"/>
    <w:basedOn w:val="1"/>
    <w:next w:val="11"/>
    <w:qFormat/>
    <w:uiPriority w:val="0"/>
    <w:pPr>
      <w:ind w:firstLine="645"/>
    </w:pPr>
    <w:rPr>
      <w:rFonts w:ascii="楷体_GB2312" w:eastAsia="楷体_GB2312"/>
      <w:sz w:val="32"/>
      <w:szCs w:val="32"/>
    </w:rPr>
  </w:style>
  <w:style w:type="paragraph" w:customStyle="1" w:styleId="11">
    <w:name w:val="寄信人地址1"/>
    <w:basedOn w:val="1"/>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2025-06-03T03:20:00Z</dcterms:created>
  <dc:creator>走路草</dc:creator>
  <cp:lastModifiedBy>走路草</cp:lastModifiedBy>
  <dcterms:modified xsi:type="dcterms:W3CDTF">2025-06-03T05:03:04Z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3F5033EB200F4CA88A70F79AEDEEE225_11</vt:lpwstr>
  </property>
  <property fmtid="{D5CDD505-2E9C-101B-9397-08002B2CF9AE}" pid="4" name="KSOTemplateDocerSaveRecord">
    <vt:lpwstr>eyJoZGlkIjoiNmQ2ZTYzMjY2NDY4Y2U4MzE5YzkzODg3MjQzYTA5N2EiLCJ1c2VySWQiOiIyNDI4Mjg3MTAifQ==</vt:lpwstr>
  </property>
</Properties>
</file>